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PLANILHA DE PONTUAÇÃO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21.00000000000001" w:type="dxa"/>
        <w:tblLayout w:type="fixed"/>
        <w:tblLook w:val="0000"/>
      </w:tblPr>
      <w:tblGrid>
        <w:gridCol w:w="4815"/>
        <w:gridCol w:w="3283"/>
        <w:gridCol w:w="1622"/>
        <w:tblGridChange w:id="0">
          <w:tblGrid>
            <w:gridCol w:w="4815"/>
            <w:gridCol w:w="3283"/>
            <w:gridCol w:w="16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80808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ITENS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80808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0808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PONTOS REQUERIDOS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shd w:fill="b7b7b7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b7b7b7" w:val="clear"/>
                <w:vertAlign w:val="baseline"/>
                <w:rtl w:val="0"/>
              </w:rPr>
              <w:t xml:space="preserve">Formação Acadêmica/Titulação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Diploma de Graduação (bacharelado ou licenciatura) nas áreas de Engenharias ou Ciências Exatas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Diploma de Graduação em Curso de Tecnologia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Diploma de Mestrado nas áreas de Engenharias ou Ciências Exatas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Diploma de Mestrado em outros Cursos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Na ausência do diploma, incluir declaração ou comprovante equivalente;</w:t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Apenas 01 (um) diploma em nível de graduação será considerado;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Apenas 01 (um) diploma em nível de pós-graduação será considerado;</w:t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Cursos realizados no exterior só serão considerados se devidamente revalidados.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shd w:fill="b7b7b7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b7b7b7" w:val="clear"/>
                <w:vertAlign w:val="baseline"/>
                <w:rtl w:val="0"/>
              </w:rPr>
              <w:t xml:space="preserve">Produção Científica/ Tecnológica (últimos 5 anos)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Trabalho completo publicado/aceito em anais de evento ligados a sociedade científica nacional ou internacional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 para o primeiro autor (por trabalho)</w:t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5 para o segundo autor (por trabalho)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Artigo publicado/aceito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A1 ou A2 que conste na lista de peri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ódicos aderentes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 para o primeiro autor (por artigo) 25 para o segundo autor (por artigo)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Artigo publicado/aceito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Qualis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A4 que conste na lista de periódicos aderentes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para o primeiro autor (por artigo) 15 para o segundo autor (por artigo)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1"/>
              <w:widowControl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Artigo publicado/aceito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Qualis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B1 ou B2 que conste na lista de periódicos aderentes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 para o primeiro autor (por artigo) 10 para o segundo autor (por artigo)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1"/>
              <w:widowControl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Artigo que não conste na lista de periódicos aderentes na área de Engenharias IV e tenha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A1, A2, A3 ou A4.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1"/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 para o primeiro autor (por artigo) 10 para o segundo autor (por artigo)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Inventor/co-inventor de produto ou processo com patente classificada nas áreas de Engenharias e/ou Ciências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40 (patente concedida)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30 (patente depositada)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keepNext w:val="1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Será considerado o Qualis da avaliação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quadrienal 2017 - 2020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- Lista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eriódicos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derentes da Engenharias IV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disponível no 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Quando o candidato figurar a partir da terceira posição na lista de autores, o trabalho será desconsiderado;</w:t>
            </w:r>
          </w:p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Será aceito como comprovante apenas a cópia da primeira página dos referidos trabalhos, desde que nela conste a devida ordem de autores e sua comprovação de publicação/aceitação no evento ou periódico;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Não serão aceitos certificados sem os respectivos artigos;</w:t>
            </w:r>
          </w:p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Trabalhos publicados em encontros de iniciação científica não serão considerados;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Para patentes, deve ser apresentado comprovante de depósito ou concessão que comprove a participação do candidato como autor da mesma.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Produção científica ou tecnológica referente a período anterior aos últimos 5 anos terá sua pontuação reduzida pela metade.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shd w:fill="b7b7b7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b7b7b7" w:val="clear"/>
                <w:vertAlign w:val="baseline"/>
                <w:rtl w:val="0"/>
              </w:rPr>
              <w:t xml:space="preserve">Atuação Acadêmica/Profissional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Atuação como discente em programas oficiais de Iniciação Científica, Tecnológica, Programa de Educação Tutorial (PET), monitoria, ou iniciação à docência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 (por semestre concluído)</w:t>
            </w:r>
          </w:p>
          <w:p w:rsidR="00000000" w:rsidDel="00000000" w:rsidP="00000000" w:rsidRDefault="00000000" w:rsidRPr="00000000" w14:paraId="0000004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Limitado a 40 pontos</w:t>
            </w:r>
          </w:p>
          <w:p w:rsidR="00000000" w:rsidDel="00000000" w:rsidP="00000000" w:rsidRDefault="00000000" w:rsidRPr="00000000" w14:paraId="0000004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Atuação profissional (empresas, instituições de ensino e/ou pesquisa, etc) – não contabilizados pontos para estágios supervisionados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 (por semestre concluído)</w:t>
            </w:r>
          </w:p>
          <w:p w:rsidR="00000000" w:rsidDel="00000000" w:rsidP="00000000" w:rsidRDefault="00000000" w:rsidRPr="00000000" w14:paraId="0000004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Limitado a 20 pontos</w:t>
            </w:r>
          </w:p>
          <w:p w:rsidR="00000000" w:rsidDel="00000000" w:rsidP="00000000" w:rsidRDefault="00000000" w:rsidRPr="00000000" w14:paraId="0000004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Disciplinas cursadas com aprovação por média em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como aluno especial ou regular, comprovadas por histórico escolar, exceto os créditos oriundos de disciplinas cursadas no Mestrado (já considerados no item 1).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 (para cada 4 créditos ou 60 horas-aula)</w:t>
            </w:r>
          </w:p>
          <w:p w:rsidR="00000000" w:rsidDel="00000000" w:rsidP="00000000" w:rsidRDefault="00000000" w:rsidRPr="00000000" w14:paraId="0000004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Limitado a 20 pontos</w:t>
            </w:r>
          </w:p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Experiência em programa de mobilidade acadêmica internacional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 (por semestre concluído)</w:t>
            </w:r>
          </w:p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Limitado a 15 pontos</w:t>
            </w:r>
          </w:p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A atuação do discente em programas oficiais de Iniciação Científica, Tecnológica, Programa de Educação Tutorial (PET), monitoria, ou iniciação à docência deverá ser comprovada mediante declaração emitida pelo órgão competente (ex.: Pró-Reitoria de Pesquisa)</w:t>
            </w:r>
          </w:p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Para atuação acadêmica ou profissional, com duração superior a 1 semestre, a pontuação correspondente será calculada proporcionalmente ao número de meses. Para atuação acadêmica ou profissional, com duração inferior a 1 semestre, não haverá pontuação;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Disciplinas de curso de mestrado ou doutorado já concluído pelo candidato não serão computadas neste item, visto já estarem consideradas na pontuação do item 1.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Não serão consideradas declarações emitidas por professores para a comprovação dos pontos relativos a disciplinas cursadas com aprovação por média em curso de pós-graduação stricto sensu como aluno especial ou regular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0"/>
              <w:numPr>
                <w:ilvl w:val="0"/>
                <w:numId w:val="1"/>
              </w:numP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shd w:fill="b7b7b7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b7b7b7" w:val="clear"/>
                <w:vertAlign w:val="baseline"/>
                <w:rtl w:val="0"/>
              </w:rPr>
              <w:t xml:space="preserve">Língua Inglesa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Certificado de proficiência internacional</w:t>
            </w:r>
          </w:p>
          <w:p w:rsidR="00000000" w:rsidDel="00000000" w:rsidP="00000000" w:rsidRDefault="00000000" w:rsidRPr="00000000" w14:paraId="0000005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9"/>
                <w:szCs w:val="1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(TOEFL, IELTS, MICHIGAN, ou CAMBRIDGE)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Curso de inglês completo com mínimo de 300 horas-aula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Curso de inglês instrumental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Para o TOEFL ITP, a pontuação total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mínima é de 460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pts. Para o TOEFL IBT,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 pontuação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total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mínima é de 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pts.</w:t>
            </w:r>
          </w:p>
          <w:p w:rsidR="00000000" w:rsidDel="00000000" w:rsidP="00000000" w:rsidRDefault="00000000" w:rsidRPr="00000000" w14:paraId="0000006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Os demais certificados internacionais serão considerados desde que a pontuação total obtida no respectivo teste de proficiência seja equivalente ao nível intermediário ou superior.</w:t>
            </w:r>
          </w:p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Será considerado apenas o certificado de maior pontuação.</w:t>
            </w:r>
          </w:p>
        </w:tc>
      </w:tr>
    </w:tbl>
    <w:p w:rsidR="00000000" w:rsidDel="00000000" w:rsidP="00000000" w:rsidRDefault="00000000" w:rsidRPr="00000000" w14:paraId="0000006F">
      <w:pPr>
        <w:keepNext w:val="1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Obs.: 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 comprovantes dos itens mencionados na planilha de pontuação devem ser apresentados na sequência por ela estabelecida, sob pena de indeferimento da inscrição ou não-contabilização de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0"/>
        <w:pageBreakBefore w:val="0"/>
        <w:widowControl w:val="1"/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lef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lef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lef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ucida Sans" w:eastAsia="SimSun" w:hAnsi="Liberation Serif"/>
      <w:color w:val="00000a"/>
      <w:kern w:val="0"/>
      <w:sz w:val="24"/>
      <w:szCs w:val="24"/>
      <w:lang w:bidi="hi-IN" w:eastAsia="zh-CN" w:val="pt-BR"/>
    </w:rPr>
  </w:style>
  <w:style w:type="paragraph" w:styleId="Heading1">
    <w:name w:val="Heading 1"/>
    <w:next w:val="Normal1"/>
    <w:qFormat w:val="1"/>
    <w:pPr>
      <w:keepNext w:val="1"/>
      <w:keepLines w:val="1"/>
      <w:pageBreakBefore w:val="0"/>
      <w:widowControl w:val="0"/>
      <w:suppressAutoHyphens w:val="1"/>
      <w:bidi w:val="0"/>
      <w:spacing w:after="120" w:before="480" w:line="240" w:lineRule="auto"/>
      <w:jc w:val="left"/>
    </w:pPr>
    <w:rPr>
      <w:rFonts w:ascii="Liberation Serif" w:cs="Liberation Serif" w:eastAsia="Liberation Serif" w:hAnsi="Liberation Serif"/>
      <w:b w:val="1"/>
      <w:color w:val="00000a"/>
      <w:kern w:val="0"/>
      <w:sz w:val="48"/>
      <w:szCs w:val="48"/>
      <w:lang w:bidi="hi-IN" w:eastAsia="zh-CN" w:val="pt-BR"/>
    </w:rPr>
  </w:style>
  <w:style w:type="paragraph" w:styleId="Heading2">
    <w:name w:val="Heading 2"/>
    <w:next w:val="Normal1"/>
    <w:qFormat w:val="1"/>
    <w:pPr>
      <w:keepNext w:val="1"/>
      <w:keepLines w:val="1"/>
      <w:pageBreakBefore w:val="0"/>
      <w:widowControl w:val="0"/>
      <w:suppressAutoHyphens w:val="1"/>
      <w:bidi w:val="0"/>
      <w:spacing w:after="80" w:before="360" w:line="240" w:lineRule="auto"/>
      <w:jc w:val="left"/>
    </w:pPr>
    <w:rPr>
      <w:rFonts w:ascii="Liberation Serif" w:cs="Liberation Serif" w:eastAsia="Liberation Serif" w:hAnsi="Liberation Serif"/>
      <w:b w:val="1"/>
      <w:color w:val="00000a"/>
      <w:kern w:val="0"/>
      <w:sz w:val="36"/>
      <w:szCs w:val="36"/>
      <w:lang w:bidi="hi-IN" w:eastAsia="zh-CN" w:val="pt-BR"/>
    </w:rPr>
  </w:style>
  <w:style w:type="paragraph" w:styleId="Heading3">
    <w:name w:val="Heading 3"/>
    <w:next w:val="Normal1"/>
    <w:qFormat w:val="1"/>
    <w:pPr>
      <w:keepNext w:val="1"/>
      <w:keepLines w:val="1"/>
      <w:pageBreakBefore w:val="0"/>
      <w:widowControl w:val="0"/>
      <w:suppressAutoHyphens w:val="1"/>
      <w:bidi w:val="0"/>
      <w:spacing w:after="80" w:before="280" w:line="240" w:lineRule="auto"/>
      <w:jc w:val="left"/>
    </w:pPr>
    <w:rPr>
      <w:rFonts w:ascii="Liberation Serif" w:cs="Liberation Serif" w:eastAsia="Liberation Serif" w:hAnsi="Liberation Serif"/>
      <w:b w:val="1"/>
      <w:color w:val="00000a"/>
      <w:kern w:val="0"/>
      <w:sz w:val="28"/>
      <w:szCs w:val="28"/>
      <w:lang w:bidi="hi-IN" w:eastAsia="zh-CN" w:val="pt-BR"/>
    </w:rPr>
  </w:style>
  <w:style w:type="paragraph" w:styleId="Heading4">
    <w:name w:val="Heading 4"/>
    <w:next w:val="Normal1"/>
    <w:qFormat w:val="1"/>
    <w:pPr>
      <w:keepNext w:val="1"/>
      <w:keepLines w:val="1"/>
      <w:pageBreakBefore w:val="0"/>
      <w:widowControl w:val="0"/>
      <w:suppressAutoHyphens w:val="1"/>
      <w:bidi w:val="0"/>
      <w:spacing w:after="40" w:before="240" w:line="240" w:lineRule="auto"/>
      <w:jc w:val="left"/>
    </w:pPr>
    <w:rPr>
      <w:rFonts w:ascii="Liberation Serif" w:cs="Liberation Serif" w:eastAsia="Liberation Serif" w:hAnsi="Liberation Serif"/>
      <w:b w:val="1"/>
      <w:color w:val="00000a"/>
      <w:kern w:val="0"/>
      <w:sz w:val="24"/>
      <w:szCs w:val="24"/>
      <w:lang w:bidi="hi-IN" w:eastAsia="zh-CN" w:val="pt-BR"/>
    </w:rPr>
  </w:style>
  <w:style w:type="paragraph" w:styleId="Heading5">
    <w:name w:val="Heading 5"/>
    <w:next w:val="Normal1"/>
    <w:qFormat w:val="1"/>
    <w:pPr>
      <w:keepNext w:val="1"/>
      <w:keepLines w:val="1"/>
      <w:pageBreakBefore w:val="0"/>
      <w:widowControl w:val="0"/>
      <w:suppressAutoHyphens w:val="1"/>
      <w:bidi w:val="0"/>
      <w:spacing w:after="40" w:before="220" w:line="240" w:lineRule="auto"/>
      <w:jc w:val="left"/>
    </w:pPr>
    <w:rPr>
      <w:rFonts w:ascii="Liberation Serif" w:cs="Liberation Serif" w:eastAsia="Liberation Serif" w:hAnsi="Liberation Serif"/>
      <w:b w:val="1"/>
      <w:color w:val="00000a"/>
      <w:kern w:val="0"/>
      <w:sz w:val="22"/>
      <w:szCs w:val="22"/>
      <w:lang w:bidi="hi-IN" w:eastAsia="zh-CN" w:val="pt-BR"/>
    </w:rPr>
  </w:style>
  <w:style w:type="paragraph" w:styleId="Heading6">
    <w:name w:val="Heading 6"/>
    <w:next w:val="Normal1"/>
    <w:qFormat w:val="1"/>
    <w:pPr>
      <w:keepNext w:val="1"/>
      <w:keepLines w:val="1"/>
      <w:pageBreakBefore w:val="0"/>
      <w:widowControl w:val="0"/>
      <w:suppressAutoHyphens w:val="1"/>
      <w:bidi w:val="0"/>
      <w:spacing w:after="40" w:before="200" w:line="240" w:lineRule="auto"/>
      <w:jc w:val="left"/>
    </w:pPr>
    <w:rPr>
      <w:rFonts w:ascii="Liberation Serif" w:cs="Liberation Serif" w:eastAsia="Liberation Serif" w:hAnsi="Liberation Serif"/>
      <w:b w:val="1"/>
      <w:color w:val="00000a"/>
      <w:kern w:val="0"/>
      <w:sz w:val="20"/>
      <w:szCs w:val="20"/>
      <w:lang w:bidi="hi-IN" w:eastAsia="zh-CN" w:val="pt-B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next w:val="BodyText"/>
    <w:qFormat w:val="1"/>
    <w:pPr>
      <w:keepNext w:val="1"/>
      <w:widowControl w:val="0"/>
      <w:suppressAutoHyphens w:val="1"/>
      <w:bidi w:val="0"/>
      <w:spacing w:after="120" w:before="240"/>
      <w:jc w:val="left"/>
    </w:pPr>
    <w:rPr>
      <w:rFonts w:ascii="Liberation Sans" w:cs="Lucida Sans" w:eastAsia="Microsoft YaHei" w:hAnsi="Liberation Sans"/>
      <w:color w:val="00000a"/>
      <w:kern w:val="0"/>
      <w:sz w:val="28"/>
      <w:szCs w:val="28"/>
      <w:lang w:bidi="hi-IN" w:eastAsia="zh-CN" w:val="pt-BR"/>
    </w:rPr>
  </w:style>
  <w:style w:type="paragraph" w:styleId="BodyText">
    <w:name w:val="Body Text"/>
    <w:qFormat w:val="1"/>
    <w:pPr>
      <w:widowControl w:val="0"/>
      <w:suppressAutoHyphens w:val="1"/>
      <w:bidi w:val="0"/>
      <w:spacing w:after="140" w:before="0" w:line="288" w:lineRule="auto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pt-BR"/>
    </w:rPr>
  </w:style>
  <w:style w:type="paragraph" w:styleId="List">
    <w:name w:val="List"/>
    <w:basedOn w:val="BodyText"/>
    <w:pPr>
      <w:widowControl w:val="0"/>
      <w:bidi w:val="0"/>
      <w:jc w:val="left"/>
    </w:pPr>
    <w:rPr>
      <w:rFonts w:ascii="Liberation Serif" w:cs="Lucida Sans" w:eastAsia="SimSun" w:hAnsi="Liberation Serif"/>
      <w:color w:val="00000a"/>
      <w:sz w:val="20"/>
      <w:szCs w:val="24"/>
      <w:lang w:bidi="hi-IN" w:eastAsia="zh-CN" w:val="pt-BR"/>
    </w:rPr>
  </w:style>
  <w:style w:type="paragraph" w:styleId="Caption">
    <w:name w:val="Caption"/>
    <w:qFormat w:val="1"/>
    <w:pPr>
      <w:widowControl w:val="0"/>
      <w:suppressLineNumbers w:val="1"/>
      <w:suppressAutoHyphens w:val="1"/>
      <w:bidi w:val="0"/>
      <w:spacing w:after="120" w:before="120"/>
      <w:jc w:val="left"/>
    </w:pPr>
    <w:rPr>
      <w:rFonts w:ascii="Liberation Serif" w:cs="Lucida Sans" w:eastAsia="Liberation Serif" w:hAnsi="Liberation Serif"/>
      <w:i w:val="1"/>
      <w:iCs w:val="1"/>
      <w:color w:val="00000a"/>
      <w:kern w:val="0"/>
      <w:sz w:val="24"/>
      <w:szCs w:val="24"/>
      <w:lang w:bidi="hi-IN" w:eastAsia="zh-CN" w:val="pt-BR"/>
    </w:rPr>
  </w:style>
  <w:style w:type="paragraph" w:styleId="Ndice">
    <w:name w:val="Índice"/>
    <w:qFormat w:val="1"/>
    <w:pPr>
      <w:widowControl w:val="0"/>
      <w:suppressLineNumbers w:val="1"/>
      <w:suppressAutoHyphens w:val="1"/>
      <w:bidi w:val="0"/>
      <w:spacing w:after="0" w:before="0"/>
      <w:jc w:val="left"/>
    </w:pPr>
    <w:rPr>
      <w:rFonts w:ascii="Liberation Serif" w:cs="Lucida Sans" w:eastAsia="Liberation Serif" w:hAnsi="Liberation Serif"/>
      <w:color w:val="00000a"/>
      <w:kern w:val="0"/>
      <w:sz w:val="24"/>
      <w:szCs w:val="24"/>
      <w:lang w:bidi="hi-IN" w:eastAsia="zh-CN" w:val="pt-BR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pt-BR"/>
    </w:rPr>
  </w:style>
  <w:style w:type="paragraph" w:styleId="Title">
    <w:name w:val="Title"/>
    <w:basedOn w:val="LO-normal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O-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pt-BR"/>
    </w:rPr>
  </w:style>
  <w:style w:type="paragraph" w:styleId="WW-Estilopadro">
    <w:name w:val="WW-Estilo padrã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2"/>
      <w:szCs w:val="22"/>
      <w:lang w:bidi="ar-SA" w:eastAsia="zh-CN" w:val="pt-BR"/>
    </w:rPr>
  </w:style>
  <w:style w:type="paragraph" w:styleId="ListParagraph">
    <w:name w:val="List Paragraph"/>
    <w:basedOn w:val="LO-normal"/>
    <w:qFormat w:val="1"/>
    <w:pPr>
      <w:spacing w:after="200" w:before="0"/>
      <w:ind w:left="720" w:right="0" w:hanging="0"/>
    </w:pPr>
    <w:rPr/>
  </w:style>
  <w:style w:type="paragraph" w:styleId="Contedodetabela">
    <w:name w:val="Conteúdo de tabela"/>
    <w:basedOn w:val="WW-Estilopadro"/>
    <w:qFormat w:val="1"/>
    <w:pPr>
      <w:suppressLineNumbers w:val="1"/>
    </w:pPr>
    <w:rPr/>
  </w:style>
  <w:style w:type="paragraph" w:styleId="Contedodatabela">
    <w:name w:val="Conteúdo da tabela"/>
    <w:basedOn w:val="LO-normal"/>
    <w:qFormat w:val="1"/>
    <w:pPr/>
    <w:rPr/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K81FkZUt75qEXCzHiuXLkCDdw==">CgMxLjA4AHIhMXFqVjE5OXlWRFZhMDhFN0Noa1FPZVlDbGRtQzh5NC12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2017-05-31T16:52:18Z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